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47" w:rsidRDefault="00ED7821" w:rsidP="00391D27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 xml:space="preserve">АДМИНИСТРАЦИЯ </w:t>
      </w:r>
    </w:p>
    <w:p w:rsidR="000F6847" w:rsidRPr="00391D27" w:rsidRDefault="00C217BB" w:rsidP="000F6847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КАЗАНАКСКОГО</w:t>
      </w:r>
      <w:r w:rsidR="00ED7821" w:rsidRPr="00391D27">
        <w:rPr>
          <w:sz w:val="28"/>
          <w:szCs w:val="28"/>
        </w:rPr>
        <w:t xml:space="preserve"> СЕЛЬСОВЕТА</w:t>
      </w:r>
    </w:p>
    <w:p w:rsidR="000F6847" w:rsidRDefault="000F6847" w:rsidP="00391D2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КРАСНОЗЁРСКОГО РАЙОНА</w:t>
      </w:r>
    </w:p>
    <w:p w:rsidR="00ED7821" w:rsidRPr="00391D27" w:rsidRDefault="00ED7821" w:rsidP="00391D27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 xml:space="preserve"> НОВОСИБИРСКОЙ ОБЛАСТИ</w:t>
      </w:r>
    </w:p>
    <w:p w:rsidR="00ED7821" w:rsidRPr="00391D27" w:rsidRDefault="00ED7821" w:rsidP="00391D27">
      <w:pPr>
        <w:jc w:val="center"/>
        <w:rPr>
          <w:sz w:val="28"/>
          <w:szCs w:val="28"/>
        </w:rPr>
      </w:pPr>
    </w:p>
    <w:p w:rsidR="00ED7821" w:rsidRPr="00391D27" w:rsidRDefault="00ED7821" w:rsidP="00693FA9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>ПОСТАНОВЛЕНИЕ</w:t>
      </w:r>
    </w:p>
    <w:p w:rsidR="00ED7821" w:rsidRPr="00391D27" w:rsidRDefault="00ED7821" w:rsidP="00ED7821">
      <w:pPr>
        <w:rPr>
          <w:b/>
          <w:sz w:val="28"/>
          <w:szCs w:val="28"/>
        </w:rPr>
      </w:pPr>
    </w:p>
    <w:p w:rsidR="00A1740B" w:rsidRPr="00391D27" w:rsidRDefault="006B1B39" w:rsidP="00ED7821">
      <w:pPr>
        <w:rPr>
          <w:sz w:val="28"/>
          <w:szCs w:val="28"/>
        </w:rPr>
      </w:pPr>
      <w:r w:rsidRPr="00391D27">
        <w:rPr>
          <w:sz w:val="28"/>
          <w:szCs w:val="28"/>
        </w:rPr>
        <w:t xml:space="preserve">От  </w:t>
      </w:r>
      <w:r w:rsidR="006471DB">
        <w:rPr>
          <w:sz w:val="28"/>
          <w:szCs w:val="28"/>
        </w:rPr>
        <w:t>30</w:t>
      </w:r>
      <w:r w:rsidR="000A693F" w:rsidRPr="00391D27">
        <w:rPr>
          <w:sz w:val="28"/>
          <w:szCs w:val="28"/>
        </w:rPr>
        <w:t>.</w:t>
      </w:r>
      <w:r w:rsidR="00A13655">
        <w:rPr>
          <w:sz w:val="28"/>
          <w:szCs w:val="28"/>
        </w:rPr>
        <w:t>0</w:t>
      </w:r>
      <w:r w:rsidR="006471DB">
        <w:rPr>
          <w:sz w:val="28"/>
          <w:szCs w:val="28"/>
        </w:rPr>
        <w:t>9</w:t>
      </w:r>
      <w:r w:rsidR="00C45AA7" w:rsidRPr="00391D27">
        <w:rPr>
          <w:sz w:val="28"/>
          <w:szCs w:val="28"/>
        </w:rPr>
        <w:t>.20</w:t>
      </w:r>
      <w:r w:rsidR="006471DB">
        <w:rPr>
          <w:sz w:val="28"/>
          <w:szCs w:val="28"/>
        </w:rPr>
        <w:t>20</w:t>
      </w:r>
      <w:r w:rsidR="00693FA9">
        <w:rPr>
          <w:sz w:val="28"/>
          <w:szCs w:val="28"/>
        </w:rPr>
        <w:t xml:space="preserve">                                   </w:t>
      </w:r>
      <w:proofErr w:type="spellStart"/>
      <w:r w:rsidR="00C217BB">
        <w:rPr>
          <w:sz w:val="28"/>
          <w:szCs w:val="28"/>
        </w:rPr>
        <w:t>с</w:t>
      </w:r>
      <w:proofErr w:type="gramStart"/>
      <w:r w:rsidR="00C217BB">
        <w:rPr>
          <w:sz w:val="28"/>
          <w:szCs w:val="28"/>
        </w:rPr>
        <w:t>.К</w:t>
      </w:r>
      <w:proofErr w:type="gramEnd"/>
      <w:r w:rsidR="00C217BB">
        <w:rPr>
          <w:sz w:val="28"/>
          <w:szCs w:val="28"/>
        </w:rPr>
        <w:t>азанак</w:t>
      </w:r>
      <w:proofErr w:type="spellEnd"/>
      <w:r w:rsidR="00CE6A73" w:rsidRPr="00391D27">
        <w:rPr>
          <w:sz w:val="28"/>
          <w:szCs w:val="28"/>
        </w:rPr>
        <w:t xml:space="preserve">  </w:t>
      </w:r>
      <w:r w:rsidR="00693FA9">
        <w:rPr>
          <w:sz w:val="28"/>
          <w:szCs w:val="28"/>
        </w:rPr>
        <w:t xml:space="preserve">                                       </w:t>
      </w:r>
      <w:r w:rsidR="006471DB">
        <w:rPr>
          <w:sz w:val="28"/>
          <w:szCs w:val="28"/>
        </w:rPr>
        <w:t xml:space="preserve"> № </w:t>
      </w:r>
      <w:r w:rsidR="00B705AE">
        <w:rPr>
          <w:sz w:val="28"/>
          <w:szCs w:val="28"/>
        </w:rPr>
        <w:t>23а</w:t>
      </w:r>
    </w:p>
    <w:p w:rsidR="00391D27" w:rsidRDefault="00391D27" w:rsidP="00ED7821">
      <w:pPr>
        <w:rPr>
          <w:sz w:val="28"/>
          <w:szCs w:val="28"/>
        </w:rPr>
      </w:pP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>сводную бюджетную роспись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>на 20</w:t>
      </w:r>
      <w:r w:rsidR="006471DB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        </w:t>
      </w:r>
    </w:p>
    <w:p w:rsidR="005F6C23" w:rsidRDefault="005F6C23" w:rsidP="005F6C23">
      <w:pPr>
        <w:ind w:right="355"/>
        <w:rPr>
          <w:sz w:val="28"/>
          <w:szCs w:val="28"/>
        </w:rPr>
      </w:pPr>
    </w:p>
    <w:p w:rsidR="005F6C23" w:rsidRDefault="005F6C23" w:rsidP="0068708D">
      <w:pPr>
        <w:ind w:firstLine="38"/>
        <w:jc w:val="both"/>
        <w:rPr>
          <w:sz w:val="28"/>
          <w:szCs w:val="28"/>
        </w:rPr>
      </w:pPr>
      <w:proofErr w:type="gramStart"/>
      <w:r w:rsidRPr="0007780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п.3</w:t>
      </w:r>
      <w:r w:rsidRPr="00077803">
        <w:rPr>
          <w:sz w:val="28"/>
          <w:szCs w:val="28"/>
        </w:rPr>
        <w:t xml:space="preserve"> ст. 217 Бюджетного кодекса Российской Федерации, </w:t>
      </w:r>
      <w:r>
        <w:rPr>
          <w:sz w:val="28"/>
          <w:szCs w:val="28"/>
        </w:rPr>
        <w:t xml:space="preserve"> п. 4.3 раздела 4 </w:t>
      </w:r>
      <w:r w:rsidRPr="00077803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077803">
        <w:rPr>
          <w:sz w:val="28"/>
          <w:szCs w:val="28"/>
        </w:rPr>
        <w:t xml:space="preserve"> составления и ведения сводной бюджетной росписи бюджет</w:t>
      </w:r>
      <w:r>
        <w:rPr>
          <w:sz w:val="28"/>
          <w:szCs w:val="28"/>
        </w:rPr>
        <w:t xml:space="preserve">а </w:t>
      </w:r>
      <w:proofErr w:type="spellStart"/>
      <w:r w:rsidR="00C217BB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 и бюджетной росписи главного распорядителя средств </w:t>
      </w:r>
      <w:proofErr w:type="spellStart"/>
      <w:r w:rsidRPr="00077803">
        <w:rPr>
          <w:sz w:val="28"/>
          <w:szCs w:val="28"/>
        </w:rPr>
        <w:t>бюджета</w:t>
      </w:r>
      <w:r w:rsidR="00C217BB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 (главного администратора источников финансирования дефицита </w:t>
      </w:r>
      <w:proofErr w:type="spellStart"/>
      <w:r w:rsidRPr="00077803">
        <w:rPr>
          <w:sz w:val="28"/>
          <w:szCs w:val="28"/>
        </w:rPr>
        <w:t>бюджета</w:t>
      </w:r>
      <w:r w:rsidR="00C217BB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области), утвержденн</w:t>
      </w:r>
      <w:r>
        <w:rPr>
          <w:sz w:val="28"/>
          <w:szCs w:val="28"/>
        </w:rPr>
        <w:t>ого</w:t>
      </w:r>
      <w:r w:rsidRPr="00077803">
        <w:rPr>
          <w:sz w:val="28"/>
          <w:szCs w:val="28"/>
        </w:rPr>
        <w:t xml:space="preserve"> постановлением администрации </w:t>
      </w:r>
      <w:proofErr w:type="spellStart"/>
      <w:r w:rsidR="00C217BB">
        <w:rPr>
          <w:sz w:val="28"/>
          <w:szCs w:val="28"/>
        </w:rPr>
        <w:t>Казанаского</w:t>
      </w:r>
      <w:proofErr w:type="spellEnd"/>
      <w:r>
        <w:rPr>
          <w:sz w:val="28"/>
          <w:szCs w:val="28"/>
        </w:rPr>
        <w:t xml:space="preserve"> сельсовета </w:t>
      </w:r>
      <w:r w:rsidRPr="00077803">
        <w:rPr>
          <w:sz w:val="28"/>
          <w:szCs w:val="28"/>
        </w:rPr>
        <w:t>Краснозерского</w:t>
      </w:r>
      <w:r w:rsidR="006471DB">
        <w:rPr>
          <w:sz w:val="28"/>
          <w:szCs w:val="28"/>
        </w:rPr>
        <w:t xml:space="preserve"> </w:t>
      </w:r>
      <w:r w:rsidRPr="00077803">
        <w:rPr>
          <w:sz w:val="28"/>
          <w:szCs w:val="28"/>
        </w:rPr>
        <w:t>района Новосибирской</w:t>
      </w:r>
      <w:proofErr w:type="gramEnd"/>
      <w:r w:rsidRPr="00077803"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№ </w:t>
      </w:r>
      <w:r w:rsidR="00A13655">
        <w:rPr>
          <w:sz w:val="28"/>
          <w:szCs w:val="28"/>
        </w:rPr>
        <w:t>16</w:t>
      </w:r>
      <w:r w:rsidRPr="00077803">
        <w:rPr>
          <w:sz w:val="28"/>
          <w:szCs w:val="28"/>
        </w:rPr>
        <w:t>от</w:t>
      </w:r>
      <w:r w:rsidR="006471DB">
        <w:rPr>
          <w:sz w:val="28"/>
          <w:szCs w:val="28"/>
        </w:rPr>
        <w:t xml:space="preserve"> </w:t>
      </w:r>
      <w:r w:rsidRPr="005F6C23">
        <w:rPr>
          <w:sz w:val="28"/>
          <w:szCs w:val="28"/>
        </w:rPr>
        <w:t>2</w:t>
      </w:r>
      <w:r w:rsidR="00A13655">
        <w:rPr>
          <w:sz w:val="28"/>
          <w:szCs w:val="28"/>
        </w:rPr>
        <w:t>5</w:t>
      </w:r>
      <w:r w:rsidRPr="005F6C23">
        <w:rPr>
          <w:sz w:val="28"/>
          <w:szCs w:val="28"/>
        </w:rPr>
        <w:t>.</w:t>
      </w:r>
      <w:r w:rsidR="00C217BB">
        <w:rPr>
          <w:sz w:val="28"/>
          <w:szCs w:val="28"/>
        </w:rPr>
        <w:t>0</w:t>
      </w:r>
      <w:r w:rsidR="00A13655">
        <w:rPr>
          <w:sz w:val="28"/>
          <w:szCs w:val="28"/>
        </w:rPr>
        <w:t>5</w:t>
      </w:r>
      <w:r w:rsidRPr="005F6C23">
        <w:rPr>
          <w:sz w:val="28"/>
          <w:szCs w:val="28"/>
        </w:rPr>
        <w:t>.1</w:t>
      </w:r>
      <w:r w:rsidR="00A13655">
        <w:rPr>
          <w:sz w:val="28"/>
          <w:szCs w:val="28"/>
        </w:rPr>
        <w:t>7</w:t>
      </w:r>
      <w:r w:rsidRPr="005F6C23">
        <w:rPr>
          <w:sz w:val="28"/>
          <w:szCs w:val="28"/>
        </w:rPr>
        <w:t>г.</w:t>
      </w:r>
    </w:p>
    <w:p w:rsidR="005F6C23" w:rsidRDefault="005F6C23" w:rsidP="0068708D">
      <w:pPr>
        <w:ind w:left="-360" w:firstLine="76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F6C23" w:rsidRDefault="005F6C23" w:rsidP="0068708D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Pr="008231A9">
        <w:rPr>
          <w:sz w:val="28"/>
          <w:szCs w:val="28"/>
        </w:rPr>
        <w:t>нести изменения в</w:t>
      </w:r>
      <w:r>
        <w:rPr>
          <w:sz w:val="28"/>
          <w:szCs w:val="28"/>
        </w:rPr>
        <w:t xml:space="preserve"> показатели</w:t>
      </w:r>
      <w:r w:rsidRPr="008231A9">
        <w:rPr>
          <w:sz w:val="28"/>
          <w:szCs w:val="28"/>
        </w:rPr>
        <w:t xml:space="preserve">  сводн</w:t>
      </w:r>
      <w:r>
        <w:rPr>
          <w:sz w:val="28"/>
          <w:szCs w:val="28"/>
        </w:rPr>
        <w:t>ой</w:t>
      </w:r>
      <w:r w:rsidRPr="008231A9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ой</w:t>
      </w:r>
      <w:r w:rsidRPr="008231A9">
        <w:rPr>
          <w:sz w:val="28"/>
          <w:szCs w:val="28"/>
        </w:rPr>
        <w:t xml:space="preserve"> роспис</w:t>
      </w:r>
      <w:r>
        <w:rPr>
          <w:sz w:val="28"/>
          <w:szCs w:val="28"/>
        </w:rPr>
        <w:t>и</w:t>
      </w:r>
      <w:r w:rsidRPr="008231A9">
        <w:rPr>
          <w:sz w:val="28"/>
          <w:szCs w:val="28"/>
        </w:rPr>
        <w:t xml:space="preserve"> бюджета</w:t>
      </w:r>
      <w:r w:rsidR="006471DB">
        <w:rPr>
          <w:sz w:val="28"/>
          <w:szCs w:val="28"/>
        </w:rPr>
        <w:t xml:space="preserve"> </w:t>
      </w:r>
      <w:proofErr w:type="spellStart"/>
      <w:r w:rsidR="00C217BB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 Краснозерского района Новосибирской области </w:t>
      </w:r>
      <w:r w:rsidR="000330C4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6471D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 связанные с особенностями исполнения  бюджета </w:t>
      </w:r>
      <w:proofErr w:type="spellStart"/>
      <w:r w:rsidR="00174AFE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 Краснозерского района Новосибирской области </w:t>
      </w:r>
      <w:proofErr w:type="gramStart"/>
      <w:r w:rsidR="0066480A">
        <w:rPr>
          <w:sz w:val="28"/>
          <w:szCs w:val="28"/>
        </w:rPr>
        <w:t>согласно приложений</w:t>
      </w:r>
      <w:proofErr w:type="gramEnd"/>
      <w:r w:rsidR="0066480A">
        <w:rPr>
          <w:sz w:val="28"/>
          <w:szCs w:val="28"/>
        </w:rPr>
        <w:t xml:space="preserve"> 1и 2.</w:t>
      </w:r>
    </w:p>
    <w:p w:rsidR="005F6C23" w:rsidRPr="00077803" w:rsidRDefault="005F6C23" w:rsidP="0068708D">
      <w:pPr>
        <w:ind w:left="-360" w:right="2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F6C23" w:rsidRPr="00077803" w:rsidRDefault="005F6C23" w:rsidP="005F6C23">
      <w:pPr>
        <w:ind w:left="-360" w:firstLine="540"/>
        <w:jc w:val="both"/>
        <w:rPr>
          <w:sz w:val="28"/>
          <w:szCs w:val="28"/>
        </w:rPr>
      </w:pPr>
    </w:p>
    <w:p w:rsidR="005F6C23" w:rsidRDefault="005F6C23" w:rsidP="005F6C23">
      <w:pPr>
        <w:ind w:firstLine="540"/>
        <w:jc w:val="both"/>
        <w:rPr>
          <w:sz w:val="28"/>
          <w:szCs w:val="28"/>
        </w:rPr>
      </w:pPr>
    </w:p>
    <w:p w:rsidR="005F6C23" w:rsidRDefault="005F6C23" w:rsidP="005F6C23">
      <w:pPr>
        <w:ind w:firstLine="540"/>
        <w:jc w:val="both"/>
        <w:rPr>
          <w:sz w:val="28"/>
          <w:szCs w:val="28"/>
        </w:rPr>
      </w:pP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174AFE">
        <w:rPr>
          <w:sz w:val="28"/>
          <w:szCs w:val="28"/>
        </w:rPr>
        <w:t>Казанакского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 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</w:t>
      </w:r>
      <w:r w:rsidR="00174AFE">
        <w:rPr>
          <w:sz w:val="28"/>
          <w:szCs w:val="28"/>
        </w:rPr>
        <w:t>А.П. Кустов</w:t>
      </w:r>
    </w:p>
    <w:p w:rsidR="005F6C23" w:rsidRDefault="005F6C23" w:rsidP="005F6C23">
      <w:pPr>
        <w:ind w:right="355"/>
        <w:rPr>
          <w:sz w:val="28"/>
          <w:szCs w:val="28"/>
        </w:rPr>
      </w:pPr>
    </w:p>
    <w:p w:rsidR="005F6C23" w:rsidRPr="00AE559D" w:rsidRDefault="005F6C23" w:rsidP="005F6C23">
      <w:pPr>
        <w:ind w:right="355"/>
        <w:rPr>
          <w:sz w:val="20"/>
          <w:szCs w:val="20"/>
        </w:rPr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68708D" w:rsidRDefault="0068708D" w:rsidP="005F6C23">
      <w:pPr>
        <w:ind w:right="355"/>
        <w:rPr>
          <w:sz w:val="20"/>
          <w:szCs w:val="20"/>
        </w:rPr>
      </w:pPr>
    </w:p>
    <w:p w:rsidR="00E82F77" w:rsidRDefault="00E82F77" w:rsidP="005F6C23">
      <w:pPr>
        <w:ind w:right="355"/>
        <w:rPr>
          <w:sz w:val="20"/>
          <w:szCs w:val="20"/>
        </w:rPr>
      </w:pPr>
    </w:p>
    <w:p w:rsidR="005F6C23" w:rsidRPr="005F6C23" w:rsidRDefault="00174AFE" w:rsidP="005F6C23">
      <w:pPr>
        <w:ind w:right="355"/>
        <w:rPr>
          <w:sz w:val="20"/>
          <w:szCs w:val="20"/>
        </w:rPr>
      </w:pPr>
      <w:proofErr w:type="spellStart"/>
      <w:r>
        <w:rPr>
          <w:sz w:val="20"/>
          <w:szCs w:val="20"/>
        </w:rPr>
        <w:t>Гергерт</w:t>
      </w:r>
      <w:proofErr w:type="spellEnd"/>
    </w:p>
    <w:p w:rsidR="00A1740B" w:rsidRDefault="00174AFE" w:rsidP="007557A2">
      <w:pPr>
        <w:ind w:right="355"/>
        <w:rPr>
          <w:sz w:val="20"/>
          <w:szCs w:val="20"/>
        </w:rPr>
      </w:pPr>
      <w:r>
        <w:rPr>
          <w:sz w:val="20"/>
          <w:szCs w:val="20"/>
        </w:rPr>
        <w:t>65-4</w:t>
      </w:r>
      <w:r w:rsidR="006471DB">
        <w:rPr>
          <w:sz w:val="20"/>
          <w:szCs w:val="20"/>
        </w:rPr>
        <w:t>12</w:t>
      </w:r>
    </w:p>
    <w:p w:rsidR="00174AFE" w:rsidRDefault="00174AFE" w:rsidP="007557A2">
      <w:pPr>
        <w:ind w:right="355"/>
        <w:rPr>
          <w:sz w:val="20"/>
          <w:szCs w:val="20"/>
        </w:rPr>
      </w:pPr>
    </w:p>
    <w:p w:rsidR="005823DD" w:rsidRDefault="005823DD" w:rsidP="007557A2">
      <w:pPr>
        <w:ind w:right="355"/>
        <w:rPr>
          <w:sz w:val="20"/>
          <w:szCs w:val="20"/>
        </w:rPr>
      </w:pPr>
    </w:p>
    <w:p w:rsidR="005823DD" w:rsidRDefault="005823DD" w:rsidP="007557A2">
      <w:pPr>
        <w:ind w:right="355"/>
        <w:rPr>
          <w:sz w:val="20"/>
          <w:szCs w:val="20"/>
        </w:rPr>
      </w:pPr>
    </w:p>
    <w:p w:rsidR="005823DD" w:rsidRPr="007557A2" w:rsidRDefault="005823DD" w:rsidP="007557A2">
      <w:pPr>
        <w:ind w:right="355"/>
        <w:rPr>
          <w:sz w:val="20"/>
          <w:szCs w:val="20"/>
        </w:rPr>
      </w:pPr>
    </w:p>
    <w:p w:rsidR="001B1FA4" w:rsidRDefault="001B1FA4" w:rsidP="00421FFF">
      <w:pPr>
        <w:ind w:left="4956"/>
        <w:jc w:val="right"/>
      </w:pPr>
    </w:p>
    <w:p w:rsidR="00421FFF" w:rsidRPr="00AB05A6" w:rsidRDefault="00421FFF" w:rsidP="00421FFF">
      <w:pPr>
        <w:ind w:left="4956"/>
        <w:jc w:val="right"/>
      </w:pPr>
      <w:r w:rsidRPr="00AB05A6">
        <w:lastRenderedPageBreak/>
        <w:t>Приложение 1 к постановлению</w:t>
      </w:r>
    </w:p>
    <w:p w:rsidR="00421FFF" w:rsidRPr="00AB05A6" w:rsidRDefault="00421FFF" w:rsidP="00421FFF">
      <w:pPr>
        <w:tabs>
          <w:tab w:val="left" w:pos="5103"/>
          <w:tab w:val="left" w:pos="5812"/>
        </w:tabs>
        <w:ind w:left="4956"/>
        <w:jc w:val="right"/>
      </w:pPr>
      <w:r w:rsidRPr="00AB05A6">
        <w:t xml:space="preserve">администрации </w:t>
      </w:r>
      <w:proofErr w:type="spellStart"/>
      <w:r w:rsidR="00174AFE">
        <w:t>Казанакого</w:t>
      </w:r>
      <w:proofErr w:type="spellEnd"/>
      <w:r w:rsidRPr="00AB05A6">
        <w:t xml:space="preserve"> сельсовета Краснозерского района Новосибирской области от </w:t>
      </w:r>
      <w:r w:rsidR="006471DB">
        <w:t>30</w:t>
      </w:r>
      <w:r w:rsidRPr="00AB05A6">
        <w:t>.</w:t>
      </w:r>
      <w:r w:rsidR="00A13655">
        <w:t>0</w:t>
      </w:r>
      <w:r w:rsidR="006471DB">
        <w:t>9</w:t>
      </w:r>
      <w:r w:rsidRPr="00AB05A6">
        <w:t>.20</w:t>
      </w:r>
      <w:r w:rsidR="006471DB">
        <w:t>20</w:t>
      </w:r>
      <w:r w:rsidRPr="00AB05A6">
        <w:t xml:space="preserve">г. № </w:t>
      </w:r>
      <w:r w:rsidR="00B705AE">
        <w:t>23а</w:t>
      </w:r>
    </w:p>
    <w:p w:rsidR="006B63EE" w:rsidRPr="00887F5C" w:rsidRDefault="006B63EE" w:rsidP="006B63EE">
      <w:pPr>
        <w:jc w:val="center"/>
        <w:rPr>
          <w:sz w:val="28"/>
          <w:szCs w:val="28"/>
        </w:rPr>
      </w:pPr>
      <w:r w:rsidRPr="00887F5C">
        <w:rPr>
          <w:sz w:val="28"/>
          <w:szCs w:val="28"/>
        </w:rPr>
        <w:t>Изменение сводной бюджетной росписи</w:t>
      </w:r>
    </w:p>
    <w:p w:rsidR="00421FFF" w:rsidRPr="00AB05A6" w:rsidRDefault="006B63EE" w:rsidP="006B63EE">
      <w:pPr>
        <w:jc w:val="center"/>
      </w:pPr>
      <w:r w:rsidRPr="006B63EE">
        <w:rPr>
          <w:sz w:val="28"/>
          <w:szCs w:val="28"/>
        </w:rPr>
        <w:t xml:space="preserve">по </w:t>
      </w:r>
      <w:r>
        <w:rPr>
          <w:sz w:val="28"/>
          <w:szCs w:val="28"/>
        </w:rPr>
        <w:t>доходам</w:t>
      </w:r>
    </w:p>
    <w:p w:rsidR="00421FFF" w:rsidRPr="00AB05A6" w:rsidRDefault="00421FFF" w:rsidP="00421FFF">
      <w:pPr>
        <w:ind w:left="7788" w:right="355"/>
      </w:pPr>
      <w:r w:rsidRPr="00AB05A6">
        <w:t xml:space="preserve">                 тыс</w:t>
      </w:r>
      <w:proofErr w:type="gramStart"/>
      <w:r w:rsidRPr="00AB05A6">
        <w:t>.р</w:t>
      </w:r>
      <w:proofErr w:type="gramEnd"/>
      <w:r w:rsidRPr="00AB05A6">
        <w:t>уб.</w:t>
      </w:r>
    </w:p>
    <w:tbl>
      <w:tblPr>
        <w:tblStyle w:val="a5"/>
        <w:tblW w:w="9923" w:type="dxa"/>
        <w:tblInd w:w="108" w:type="dxa"/>
        <w:tblLayout w:type="fixed"/>
        <w:tblLook w:val="01E0"/>
      </w:tblPr>
      <w:tblGrid>
        <w:gridCol w:w="2831"/>
        <w:gridCol w:w="3406"/>
        <w:gridCol w:w="1560"/>
        <w:gridCol w:w="850"/>
        <w:gridCol w:w="1276"/>
      </w:tblGrid>
      <w:tr w:rsidR="00421FFF" w:rsidRPr="00CD2495" w:rsidTr="00D34115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FFF" w:rsidRPr="00887F5C" w:rsidRDefault="00421FFF" w:rsidP="004116F5">
            <w:pPr>
              <w:ind w:right="355"/>
              <w:jc w:val="center"/>
            </w:pPr>
            <w:r w:rsidRPr="00887F5C">
              <w:t>КБК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FFF" w:rsidRPr="00887F5C" w:rsidRDefault="00421FFF" w:rsidP="004116F5">
            <w:pPr>
              <w:ind w:right="355"/>
            </w:pPr>
            <w:r w:rsidRPr="00887F5C">
              <w:t>Наименование источников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Показатели сводной бюджетной росписи, утвержденные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Показатели сводной бюджетной росписи с учетом внесенных изменений</w:t>
            </w:r>
          </w:p>
        </w:tc>
      </w:tr>
    </w:tbl>
    <w:tbl>
      <w:tblPr>
        <w:tblW w:w="9938" w:type="dxa"/>
        <w:tblInd w:w="93" w:type="dxa"/>
        <w:tblLook w:val="04A0"/>
      </w:tblPr>
      <w:tblGrid>
        <w:gridCol w:w="2895"/>
        <w:gridCol w:w="3357"/>
        <w:gridCol w:w="1559"/>
        <w:gridCol w:w="966"/>
        <w:gridCol w:w="1161"/>
      </w:tblGrid>
      <w:tr w:rsidR="00887F5C" w:rsidRPr="00CD2495" w:rsidTr="004A0390">
        <w:trPr>
          <w:trHeight w:val="78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87F5C" w:rsidRPr="00E91858" w:rsidRDefault="00887F5C" w:rsidP="004116F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E91858">
              <w:rPr>
                <w:rFonts w:ascii="Arial CYR" w:hAnsi="Arial CYR" w:cs="Arial CYR"/>
                <w:bCs/>
                <w:sz w:val="20"/>
                <w:szCs w:val="20"/>
              </w:rPr>
              <w:t>ИТОГО ДОХОДЫ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87F5C" w:rsidRDefault="00887F5C" w:rsidP="00AA02FF"/>
          <w:p w:rsidR="00D34115" w:rsidRDefault="00D34115" w:rsidP="00AA02FF"/>
          <w:p w:rsidR="00D34115" w:rsidRPr="00AA02FF" w:rsidRDefault="00D34115" w:rsidP="00AA02FF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6471DB" w:rsidP="00E91858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17518,40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6471DB" w:rsidP="00887F5C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6471DB" w:rsidP="004116F5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17525,5</w:t>
            </w:r>
          </w:p>
        </w:tc>
      </w:tr>
      <w:tr w:rsidR="00951DB2" w:rsidRPr="00CD2495" w:rsidTr="004A0390">
        <w:trPr>
          <w:trHeight w:val="244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51DB2" w:rsidRPr="00E91858" w:rsidRDefault="0075042D" w:rsidP="004116F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204</w:t>
            </w:r>
            <w:r w:rsidR="00951DB2" w:rsidRPr="00E91858">
              <w:rPr>
                <w:rFonts w:ascii="Arial CYR" w:hAnsi="Arial CYR" w:cs="Arial CYR"/>
                <w:bCs/>
                <w:sz w:val="20"/>
                <w:szCs w:val="20"/>
              </w:rPr>
              <w:t xml:space="preserve"> 2 00 00000 00 0000 000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DB2" w:rsidRPr="00E91858" w:rsidRDefault="00951DB2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9185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6471DB" w:rsidP="002B24B0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16516,10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6471DB" w:rsidP="002B24B0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6471DB" w:rsidP="002B24B0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16523,2</w:t>
            </w:r>
          </w:p>
        </w:tc>
      </w:tr>
      <w:tr w:rsidR="00C83087" w:rsidRPr="00CD2495" w:rsidTr="004A0390">
        <w:trPr>
          <w:trHeight w:val="1331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83087" w:rsidRPr="00353294" w:rsidRDefault="0075042D" w:rsidP="00887F5C">
            <w:pPr>
              <w:jc w:val="center"/>
              <w:rPr>
                <w:sz w:val="20"/>
                <w:szCs w:val="20"/>
              </w:rPr>
            </w:pPr>
            <w:r w:rsidRPr="00353294">
              <w:rPr>
                <w:bCs/>
                <w:sz w:val="20"/>
                <w:szCs w:val="20"/>
              </w:rPr>
              <w:t>204</w:t>
            </w:r>
            <w:r w:rsidR="00C83087" w:rsidRPr="00353294">
              <w:rPr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3357" w:type="dxa"/>
            <w:tcBorders>
              <w:bottom w:val="single" w:sz="4" w:space="0" w:color="auto"/>
            </w:tcBorders>
            <w:vAlign w:val="center"/>
            <w:hideMark/>
          </w:tcPr>
          <w:p w:rsidR="00C83087" w:rsidRPr="00E91858" w:rsidRDefault="00C83087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9185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6471DB" w:rsidP="006829C2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16516,10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6471DB" w:rsidP="006829C2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6471DB" w:rsidP="006829C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16523,2</w:t>
            </w:r>
          </w:p>
        </w:tc>
      </w:tr>
      <w:tr w:rsidR="006471DB" w:rsidRPr="00CD2495" w:rsidTr="006471DB">
        <w:trPr>
          <w:trHeight w:val="1211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471DB" w:rsidRDefault="006471DB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204 2 02 30000 00 0000 150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71DB" w:rsidRDefault="006471DB">
            <w:pPr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1DB" w:rsidRPr="004A0390" w:rsidRDefault="006471DB" w:rsidP="008F28C3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99,5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Pr="004A0390" w:rsidRDefault="006471DB" w:rsidP="008F28C3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Pr="004A0390" w:rsidRDefault="006471DB" w:rsidP="008F28C3">
            <w:pPr>
              <w:jc w:val="center"/>
            </w:pPr>
            <w:r>
              <w:t>106,6</w:t>
            </w:r>
          </w:p>
        </w:tc>
      </w:tr>
      <w:tr w:rsidR="006471DB" w:rsidRPr="00CD2495" w:rsidTr="000E315B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471DB" w:rsidRDefault="00647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204 2 02 35118 00 0000 150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71DB" w:rsidRDefault="006471D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1DB" w:rsidRPr="004A0390" w:rsidRDefault="006471DB" w:rsidP="008F28C3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99,4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Pr="004A0390" w:rsidRDefault="006471DB" w:rsidP="008F28C3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Pr="004A0390" w:rsidRDefault="006471DB" w:rsidP="00604048">
            <w:pPr>
              <w:jc w:val="center"/>
            </w:pPr>
            <w:r>
              <w:t>106,5</w:t>
            </w:r>
          </w:p>
        </w:tc>
      </w:tr>
      <w:tr w:rsidR="006471DB" w:rsidRPr="00CD2495" w:rsidTr="000E315B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471DB" w:rsidRDefault="00647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204 2 02 35118 10 0000 150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71DB" w:rsidRDefault="006471D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1DB" w:rsidRDefault="006471DB" w:rsidP="008F28C3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99,4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Default="006471DB" w:rsidP="008F28C3">
            <w:pPr>
              <w:jc w:val="center"/>
            </w:pPr>
            <w:r>
              <w:t>7,1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1DB" w:rsidRDefault="006471DB" w:rsidP="00604048">
            <w:pPr>
              <w:jc w:val="center"/>
            </w:pPr>
            <w:r>
              <w:t>106,5</w:t>
            </w:r>
          </w:p>
        </w:tc>
      </w:tr>
    </w:tbl>
    <w:p w:rsidR="0068708D" w:rsidRPr="00CD2495" w:rsidRDefault="0068708D" w:rsidP="005F6C23">
      <w:pPr>
        <w:ind w:right="355"/>
        <w:rPr>
          <w:sz w:val="20"/>
          <w:szCs w:val="20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174AFE" w:rsidRDefault="00174AFE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A426A1" w:rsidRDefault="00A426A1" w:rsidP="00A426A1">
      <w:pPr>
        <w:rPr>
          <w:sz w:val="28"/>
          <w:szCs w:val="28"/>
          <w:highlight w:val="yellow"/>
        </w:rPr>
      </w:pPr>
    </w:p>
    <w:p w:rsidR="001B1FA4" w:rsidRDefault="001B1FA4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5F6C23" w:rsidRPr="00B369AD" w:rsidRDefault="005F6C23" w:rsidP="00B369AD">
      <w:pPr>
        <w:jc w:val="right"/>
        <w:rPr>
          <w:sz w:val="28"/>
          <w:szCs w:val="28"/>
          <w:highlight w:val="yellow"/>
        </w:rPr>
      </w:pPr>
      <w:r w:rsidRPr="00887F5C">
        <w:t>Приложение</w:t>
      </w:r>
      <w:r w:rsidR="0066480A" w:rsidRPr="00887F5C">
        <w:t xml:space="preserve"> 2</w:t>
      </w:r>
    </w:p>
    <w:p w:rsidR="000F6847" w:rsidRDefault="005F6C23" w:rsidP="005F6C23">
      <w:pPr>
        <w:ind w:left="4956"/>
        <w:jc w:val="right"/>
      </w:pPr>
      <w:r w:rsidRPr="00887F5C">
        <w:t xml:space="preserve"> к постановлению администрации </w:t>
      </w:r>
    </w:p>
    <w:p w:rsidR="005F6C23" w:rsidRPr="00887F5C" w:rsidRDefault="00174AFE" w:rsidP="005F6C23">
      <w:pPr>
        <w:ind w:left="4956"/>
        <w:jc w:val="right"/>
      </w:pPr>
      <w:proofErr w:type="spellStart"/>
      <w:r>
        <w:t>Казанакского</w:t>
      </w:r>
      <w:proofErr w:type="spellEnd"/>
      <w:r w:rsidR="005F6C23" w:rsidRPr="00887F5C">
        <w:t xml:space="preserve"> сельсовета</w:t>
      </w:r>
    </w:p>
    <w:p w:rsidR="005F6C23" w:rsidRPr="00887F5C" w:rsidRDefault="005F6C23" w:rsidP="005F6C23">
      <w:pPr>
        <w:ind w:left="4956"/>
        <w:jc w:val="right"/>
      </w:pPr>
      <w:r w:rsidRPr="00887F5C">
        <w:t xml:space="preserve"> Краснозерского района </w:t>
      </w:r>
    </w:p>
    <w:p w:rsidR="005F6C23" w:rsidRPr="00887F5C" w:rsidRDefault="005F6C23" w:rsidP="005F6C23">
      <w:pPr>
        <w:ind w:left="4956"/>
        <w:jc w:val="right"/>
      </w:pPr>
      <w:r w:rsidRPr="00887F5C">
        <w:t>Новосибирской области</w:t>
      </w:r>
    </w:p>
    <w:p w:rsidR="005F6C23" w:rsidRPr="00887F5C" w:rsidRDefault="005F6C23" w:rsidP="005D1A6A">
      <w:pPr>
        <w:ind w:left="4956"/>
        <w:jc w:val="right"/>
      </w:pPr>
      <w:r w:rsidRPr="00887F5C">
        <w:t xml:space="preserve"> от </w:t>
      </w:r>
      <w:r w:rsidR="00967C14">
        <w:t>30</w:t>
      </w:r>
      <w:r w:rsidRPr="00887F5C">
        <w:t>.</w:t>
      </w:r>
      <w:r w:rsidR="005A0904">
        <w:t>0</w:t>
      </w:r>
      <w:r w:rsidR="006471DB">
        <w:t>9</w:t>
      </w:r>
      <w:r w:rsidRPr="00887F5C">
        <w:t>.20</w:t>
      </w:r>
      <w:r w:rsidR="006471DB">
        <w:t>20</w:t>
      </w:r>
      <w:r w:rsidRPr="00887F5C">
        <w:t xml:space="preserve">г. № </w:t>
      </w:r>
      <w:r w:rsidR="00B705AE">
        <w:t>23а</w:t>
      </w:r>
    </w:p>
    <w:p w:rsidR="005F6C23" w:rsidRPr="00887F5C" w:rsidRDefault="005F6C23" w:rsidP="005F6C23">
      <w:pPr>
        <w:jc w:val="center"/>
        <w:rPr>
          <w:sz w:val="28"/>
          <w:szCs w:val="28"/>
        </w:rPr>
      </w:pPr>
      <w:r w:rsidRPr="00887F5C">
        <w:rPr>
          <w:sz w:val="28"/>
          <w:szCs w:val="28"/>
        </w:rPr>
        <w:t>Изменение сводной бюджетной росписи</w:t>
      </w:r>
    </w:p>
    <w:p w:rsidR="005F6C23" w:rsidRPr="006B63EE" w:rsidRDefault="006B63EE" w:rsidP="005F6C23">
      <w:pPr>
        <w:jc w:val="center"/>
        <w:rPr>
          <w:sz w:val="28"/>
          <w:szCs w:val="28"/>
        </w:rPr>
      </w:pPr>
      <w:proofErr w:type="gramStart"/>
      <w:r w:rsidRPr="006B63EE">
        <w:rPr>
          <w:sz w:val="28"/>
          <w:szCs w:val="28"/>
        </w:rPr>
        <w:t>по</w:t>
      </w:r>
      <w:proofErr w:type="gramEnd"/>
      <w:r w:rsidRPr="006B63EE">
        <w:rPr>
          <w:sz w:val="28"/>
          <w:szCs w:val="28"/>
        </w:rPr>
        <w:t xml:space="preserve"> расходом</w:t>
      </w:r>
    </w:p>
    <w:tbl>
      <w:tblPr>
        <w:tblW w:w="10666" w:type="dxa"/>
        <w:jc w:val="center"/>
        <w:tblLayout w:type="fixed"/>
        <w:tblLook w:val="00A0"/>
      </w:tblPr>
      <w:tblGrid>
        <w:gridCol w:w="2920"/>
        <w:gridCol w:w="900"/>
        <w:gridCol w:w="540"/>
        <w:gridCol w:w="549"/>
        <w:gridCol w:w="1757"/>
        <w:gridCol w:w="34"/>
        <w:gridCol w:w="675"/>
        <w:gridCol w:w="45"/>
        <w:gridCol w:w="1026"/>
        <w:gridCol w:w="1178"/>
        <w:gridCol w:w="1042"/>
      </w:tblGrid>
      <w:tr w:rsidR="005F6C23" w:rsidRPr="00887F5C" w:rsidTr="005922B3">
        <w:trPr>
          <w:trHeight w:val="299"/>
          <w:jc w:val="center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6C23" w:rsidRPr="00887F5C" w:rsidRDefault="005F6C23" w:rsidP="002234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BF4ED0">
            <w:pPr>
              <w:rPr>
                <w:sz w:val="20"/>
                <w:szCs w:val="20"/>
              </w:rPr>
            </w:pPr>
            <w:proofErr w:type="spellStart"/>
            <w:r w:rsidRPr="00887F5C">
              <w:rPr>
                <w:sz w:val="20"/>
                <w:szCs w:val="20"/>
              </w:rPr>
              <w:t>тыс</w:t>
            </w:r>
            <w:proofErr w:type="gramStart"/>
            <w:r w:rsidRPr="00887F5C">
              <w:rPr>
                <w:sz w:val="20"/>
                <w:szCs w:val="20"/>
              </w:rPr>
              <w:t>.р</w:t>
            </w:r>
            <w:proofErr w:type="gramEnd"/>
            <w:r w:rsidRPr="00887F5C">
              <w:rPr>
                <w:sz w:val="20"/>
                <w:szCs w:val="20"/>
              </w:rPr>
              <w:t>уб</w:t>
            </w:r>
            <w:proofErr w:type="spellEnd"/>
            <w:r w:rsidRPr="00887F5C">
              <w:rPr>
                <w:sz w:val="20"/>
                <w:szCs w:val="20"/>
              </w:rPr>
              <w:t>)</w:t>
            </w:r>
          </w:p>
        </w:tc>
      </w:tr>
      <w:tr w:rsidR="005F6C23" w:rsidRPr="00887F5C" w:rsidTr="005922B3">
        <w:trPr>
          <w:trHeight w:val="168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</w:rPr>
            </w:pPr>
            <w:r w:rsidRPr="00887F5C">
              <w:rPr>
                <w:color w:val="000000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F4ED0">
              <w:rPr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>Показатели сводной бюджетной росписи, утвержденные решением о бюджете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>Показатели сводной бюджетной росписи с учетом внесенных изменений</w:t>
            </w:r>
          </w:p>
        </w:tc>
      </w:tr>
      <w:tr w:rsidR="005F6C23" w:rsidRPr="00CD2495" w:rsidTr="005922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C007D1">
            <w:pPr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9</w:t>
            </w:r>
          </w:p>
        </w:tc>
      </w:tr>
      <w:tr w:rsidR="00C007D1" w:rsidRPr="00CD2495" w:rsidTr="005922B3">
        <w:trPr>
          <w:trHeight w:val="481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7D1" w:rsidRPr="00BF4ED0" w:rsidRDefault="00C007D1" w:rsidP="00174AFE">
            <w:pPr>
              <w:rPr>
                <w:color w:val="000000"/>
                <w:sz w:val="20"/>
                <w:szCs w:val="20"/>
              </w:rPr>
            </w:pPr>
            <w:r w:rsidRPr="00BF4ED0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174AFE">
              <w:rPr>
                <w:color w:val="000000"/>
                <w:sz w:val="20"/>
                <w:szCs w:val="20"/>
              </w:rPr>
              <w:t>Казанакского</w:t>
            </w:r>
            <w:proofErr w:type="spellEnd"/>
            <w:r w:rsidRPr="00BF4ED0">
              <w:rPr>
                <w:color w:val="000000"/>
                <w:sz w:val="20"/>
                <w:szCs w:val="20"/>
              </w:rPr>
              <w:t xml:space="preserve"> сельсовета Краснозерского </w:t>
            </w:r>
            <w:r w:rsidR="00F4345C" w:rsidRPr="00BF4ED0">
              <w:rPr>
                <w:color w:val="000000"/>
                <w:sz w:val="20"/>
                <w:szCs w:val="20"/>
              </w:rPr>
              <w:t>района Новосибирской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3CE7" w:rsidRDefault="00B318EF" w:rsidP="00531C7C">
            <w:pPr>
              <w:rPr>
                <w:color w:val="000000"/>
                <w:sz w:val="20"/>
                <w:szCs w:val="20"/>
              </w:rPr>
            </w:pPr>
            <w:r w:rsidRPr="00CF3CE7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B6685C" w:rsidRDefault="00C007D1" w:rsidP="00C007D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3CE7" w:rsidRDefault="00CF3CE7" w:rsidP="006B63EE">
            <w:pPr>
              <w:jc w:val="center"/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14513,7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3CE7" w:rsidRDefault="00CF3CE7" w:rsidP="00C007D1">
            <w:pPr>
              <w:jc w:val="center"/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3CE7" w:rsidRDefault="00CF3CE7" w:rsidP="006B63EE">
            <w:pPr>
              <w:ind w:left="83" w:right="110" w:hanging="83"/>
              <w:jc w:val="center"/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14520,8</w:t>
            </w:r>
          </w:p>
        </w:tc>
      </w:tr>
      <w:tr w:rsidR="006471DB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Pr="00CF3CE7" w:rsidRDefault="006471DB">
            <w:pPr>
              <w:rPr>
                <w:b/>
                <w:bCs/>
                <w:sz w:val="20"/>
                <w:szCs w:val="20"/>
              </w:rPr>
            </w:pPr>
            <w:r w:rsidRPr="00CF3CE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 w:rsidP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  <w:r w:rsidR="00CF3CE7">
              <w:rPr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 w:rsidP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  <w:r w:rsidR="00CF3CE7">
              <w:rPr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 w:rsidP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  <w:r w:rsidR="00CF3CE7">
              <w:rPr>
                <w:b/>
                <w:bCs/>
                <w:sz w:val="16"/>
                <w:szCs w:val="16"/>
              </w:rPr>
              <w:t>106,5</w:t>
            </w:r>
          </w:p>
        </w:tc>
      </w:tr>
      <w:tr w:rsidR="006471DB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Pr="00CF3CE7" w:rsidRDefault="006471DB">
            <w:pPr>
              <w:rPr>
                <w:b/>
                <w:bCs/>
                <w:sz w:val="20"/>
                <w:szCs w:val="20"/>
              </w:rPr>
            </w:pPr>
            <w:r w:rsidRPr="00CF3CE7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71DB" w:rsidRDefault="006471DB" w:rsidP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  <w:r w:rsidR="00CF3CE7">
              <w:rPr>
                <w:b/>
                <w:bCs/>
                <w:sz w:val="16"/>
                <w:szCs w:val="16"/>
              </w:rPr>
              <w:t>106,5</w:t>
            </w:r>
          </w:p>
        </w:tc>
      </w:tr>
      <w:tr w:rsidR="00CF3CE7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F3CE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CF3CE7">
              <w:rPr>
                <w:b/>
                <w:bCs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jc w:val="center"/>
              <w:rPr>
                <w:b/>
                <w:bCs/>
                <w:sz w:val="20"/>
                <w:szCs w:val="20"/>
              </w:rPr>
            </w:pPr>
            <w:r w:rsidRPr="00CF3CE7">
              <w:rPr>
                <w:b/>
                <w:bCs/>
                <w:sz w:val="20"/>
                <w:szCs w:val="20"/>
              </w:rPr>
              <w:t>98.0.00.00000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106,5</w:t>
            </w:r>
          </w:p>
        </w:tc>
      </w:tr>
      <w:tr w:rsidR="00CF3CE7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rPr>
                <w:b/>
                <w:bCs/>
                <w:sz w:val="20"/>
                <w:szCs w:val="20"/>
              </w:rPr>
            </w:pPr>
            <w:r w:rsidRPr="00CF3CE7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jc w:val="center"/>
              <w:rPr>
                <w:b/>
                <w:bCs/>
                <w:sz w:val="20"/>
                <w:szCs w:val="20"/>
              </w:rPr>
            </w:pPr>
            <w:r w:rsidRPr="00CF3CE7">
              <w:rPr>
                <w:b/>
                <w:bCs/>
                <w:sz w:val="20"/>
                <w:szCs w:val="20"/>
              </w:rPr>
              <w:t>98.0.00.51180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106,5</w:t>
            </w:r>
          </w:p>
        </w:tc>
      </w:tr>
      <w:tr w:rsidR="00CF3CE7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jc w:val="center"/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98.0.00.51180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94,8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101,9</w:t>
            </w:r>
          </w:p>
        </w:tc>
      </w:tr>
      <w:tr w:rsidR="00CF3CE7" w:rsidRPr="00F4345C" w:rsidTr="005922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Pr="00CF3CE7" w:rsidRDefault="00CF3CE7">
            <w:pPr>
              <w:jc w:val="center"/>
              <w:rPr>
                <w:sz w:val="20"/>
                <w:szCs w:val="20"/>
              </w:rPr>
            </w:pPr>
            <w:r w:rsidRPr="00CF3CE7">
              <w:rPr>
                <w:sz w:val="20"/>
                <w:szCs w:val="20"/>
              </w:rPr>
              <w:t>98.0.00.51180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94,8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CE7" w:rsidRDefault="00CF3C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101,9</w:t>
            </w:r>
          </w:p>
        </w:tc>
      </w:tr>
      <w:tr w:rsidR="00115C06" w:rsidRPr="007E7C1D" w:rsidTr="00081815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CF3CE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14513,7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CF3CE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 w:rsidP="00CF3CE7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  <w:r w:rsidR="00CF3CE7">
              <w:rPr>
                <w:b/>
                <w:bCs/>
                <w:sz w:val="22"/>
                <w:szCs w:val="22"/>
              </w:rPr>
              <w:t>14520,8</w:t>
            </w:r>
          </w:p>
        </w:tc>
      </w:tr>
    </w:tbl>
    <w:p w:rsidR="005F6C23" w:rsidRDefault="005F6C23" w:rsidP="00ED7821">
      <w:pPr>
        <w:rPr>
          <w:sz w:val="28"/>
          <w:szCs w:val="28"/>
        </w:rPr>
      </w:pPr>
    </w:p>
    <w:sectPr w:rsidR="005F6C23" w:rsidSect="00115C06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94CCA"/>
    <w:rsid w:val="000330C4"/>
    <w:rsid w:val="0007221F"/>
    <w:rsid w:val="00095183"/>
    <w:rsid w:val="000A693F"/>
    <w:rsid w:val="000C68B4"/>
    <w:rsid w:val="000E1BF8"/>
    <w:rsid w:val="000F6847"/>
    <w:rsid w:val="00115C06"/>
    <w:rsid w:val="00120745"/>
    <w:rsid w:val="0015605D"/>
    <w:rsid w:val="0016065B"/>
    <w:rsid w:val="00165E3D"/>
    <w:rsid w:val="00174AFE"/>
    <w:rsid w:val="00181E60"/>
    <w:rsid w:val="00191040"/>
    <w:rsid w:val="001954AE"/>
    <w:rsid w:val="001B1FA4"/>
    <w:rsid w:val="001F27EE"/>
    <w:rsid w:val="0020401F"/>
    <w:rsid w:val="002060CC"/>
    <w:rsid w:val="00206CE2"/>
    <w:rsid w:val="00211496"/>
    <w:rsid w:val="00233366"/>
    <w:rsid w:val="00243033"/>
    <w:rsid w:val="00260ED9"/>
    <w:rsid w:val="002618FA"/>
    <w:rsid w:val="002915F3"/>
    <w:rsid w:val="0029666B"/>
    <w:rsid w:val="002A22E5"/>
    <w:rsid w:val="002D7F89"/>
    <w:rsid w:val="002E36B0"/>
    <w:rsid w:val="002E50B7"/>
    <w:rsid w:val="002F4E87"/>
    <w:rsid w:val="00324F27"/>
    <w:rsid w:val="00337C5E"/>
    <w:rsid w:val="00353294"/>
    <w:rsid w:val="003652D6"/>
    <w:rsid w:val="003670B9"/>
    <w:rsid w:val="00391D27"/>
    <w:rsid w:val="00395346"/>
    <w:rsid w:val="003B001F"/>
    <w:rsid w:val="003B06A8"/>
    <w:rsid w:val="003B126C"/>
    <w:rsid w:val="003B17FF"/>
    <w:rsid w:val="003D265C"/>
    <w:rsid w:val="00416555"/>
    <w:rsid w:val="004213C1"/>
    <w:rsid w:val="00421FFF"/>
    <w:rsid w:val="00430DF9"/>
    <w:rsid w:val="00436C4A"/>
    <w:rsid w:val="0044048E"/>
    <w:rsid w:val="00481DD9"/>
    <w:rsid w:val="00481F0E"/>
    <w:rsid w:val="004863AE"/>
    <w:rsid w:val="004A0390"/>
    <w:rsid w:val="004E1EDB"/>
    <w:rsid w:val="00501413"/>
    <w:rsid w:val="0050624D"/>
    <w:rsid w:val="00531C7C"/>
    <w:rsid w:val="00537935"/>
    <w:rsid w:val="00544A3D"/>
    <w:rsid w:val="00546A06"/>
    <w:rsid w:val="00574C7E"/>
    <w:rsid w:val="00581F51"/>
    <w:rsid w:val="005823DD"/>
    <w:rsid w:val="00587EC8"/>
    <w:rsid w:val="005922B3"/>
    <w:rsid w:val="005A0904"/>
    <w:rsid w:val="005D17E6"/>
    <w:rsid w:val="005D1A6A"/>
    <w:rsid w:val="005E1443"/>
    <w:rsid w:val="005E7E2E"/>
    <w:rsid w:val="005F6C23"/>
    <w:rsid w:val="00604048"/>
    <w:rsid w:val="00604683"/>
    <w:rsid w:val="00612164"/>
    <w:rsid w:val="006134D9"/>
    <w:rsid w:val="0061593C"/>
    <w:rsid w:val="006252A7"/>
    <w:rsid w:val="00634554"/>
    <w:rsid w:val="00634BD2"/>
    <w:rsid w:val="006471DB"/>
    <w:rsid w:val="00651D7F"/>
    <w:rsid w:val="0066480A"/>
    <w:rsid w:val="0066536C"/>
    <w:rsid w:val="00667F09"/>
    <w:rsid w:val="00673FC1"/>
    <w:rsid w:val="0068708D"/>
    <w:rsid w:val="00693FA9"/>
    <w:rsid w:val="006B1B39"/>
    <w:rsid w:val="006B63EE"/>
    <w:rsid w:val="006D1D8F"/>
    <w:rsid w:val="006F0424"/>
    <w:rsid w:val="007179A5"/>
    <w:rsid w:val="0075042D"/>
    <w:rsid w:val="007557A2"/>
    <w:rsid w:val="00791A30"/>
    <w:rsid w:val="00793BE3"/>
    <w:rsid w:val="00796294"/>
    <w:rsid w:val="007A0239"/>
    <w:rsid w:val="007A48DE"/>
    <w:rsid w:val="007B1610"/>
    <w:rsid w:val="007D0EB4"/>
    <w:rsid w:val="007D4C42"/>
    <w:rsid w:val="007F0253"/>
    <w:rsid w:val="007F2746"/>
    <w:rsid w:val="007F39EE"/>
    <w:rsid w:val="00801FC3"/>
    <w:rsid w:val="00802B9A"/>
    <w:rsid w:val="008050AF"/>
    <w:rsid w:val="0080782C"/>
    <w:rsid w:val="00834600"/>
    <w:rsid w:val="00844A65"/>
    <w:rsid w:val="008517CF"/>
    <w:rsid w:val="008563CD"/>
    <w:rsid w:val="008609B6"/>
    <w:rsid w:val="00862127"/>
    <w:rsid w:val="00862D7C"/>
    <w:rsid w:val="00887F5C"/>
    <w:rsid w:val="008D0B51"/>
    <w:rsid w:val="008D330C"/>
    <w:rsid w:val="008D66A3"/>
    <w:rsid w:val="008E3D38"/>
    <w:rsid w:val="008E7B77"/>
    <w:rsid w:val="008F211B"/>
    <w:rsid w:val="008F28C3"/>
    <w:rsid w:val="008F34B9"/>
    <w:rsid w:val="00903807"/>
    <w:rsid w:val="00907B3A"/>
    <w:rsid w:val="009377CE"/>
    <w:rsid w:val="00951DB2"/>
    <w:rsid w:val="00954AAD"/>
    <w:rsid w:val="00967C14"/>
    <w:rsid w:val="00975DA1"/>
    <w:rsid w:val="00990DA3"/>
    <w:rsid w:val="009B24F7"/>
    <w:rsid w:val="009D3C92"/>
    <w:rsid w:val="00A00D51"/>
    <w:rsid w:val="00A058C7"/>
    <w:rsid w:val="00A13655"/>
    <w:rsid w:val="00A1740B"/>
    <w:rsid w:val="00A22B25"/>
    <w:rsid w:val="00A426A1"/>
    <w:rsid w:val="00A576CF"/>
    <w:rsid w:val="00A838D2"/>
    <w:rsid w:val="00A83B5F"/>
    <w:rsid w:val="00A93B93"/>
    <w:rsid w:val="00AA02FF"/>
    <w:rsid w:val="00AA7F07"/>
    <w:rsid w:val="00AE005A"/>
    <w:rsid w:val="00B005B9"/>
    <w:rsid w:val="00B27865"/>
    <w:rsid w:val="00B3072C"/>
    <w:rsid w:val="00B318EF"/>
    <w:rsid w:val="00B369AD"/>
    <w:rsid w:val="00B539AA"/>
    <w:rsid w:val="00B66068"/>
    <w:rsid w:val="00B6685C"/>
    <w:rsid w:val="00B705AE"/>
    <w:rsid w:val="00B764DE"/>
    <w:rsid w:val="00B85D1C"/>
    <w:rsid w:val="00B90380"/>
    <w:rsid w:val="00B93FEC"/>
    <w:rsid w:val="00BB36BE"/>
    <w:rsid w:val="00BC3EF5"/>
    <w:rsid w:val="00BD07B2"/>
    <w:rsid w:val="00BF4ED0"/>
    <w:rsid w:val="00C006A6"/>
    <w:rsid w:val="00C007D1"/>
    <w:rsid w:val="00C217BB"/>
    <w:rsid w:val="00C32E67"/>
    <w:rsid w:val="00C36125"/>
    <w:rsid w:val="00C45AA7"/>
    <w:rsid w:val="00C6221B"/>
    <w:rsid w:val="00C64775"/>
    <w:rsid w:val="00C83087"/>
    <w:rsid w:val="00C84291"/>
    <w:rsid w:val="00C90576"/>
    <w:rsid w:val="00C97922"/>
    <w:rsid w:val="00CA01D8"/>
    <w:rsid w:val="00CD2495"/>
    <w:rsid w:val="00CD35A8"/>
    <w:rsid w:val="00CE5943"/>
    <w:rsid w:val="00CE6A73"/>
    <w:rsid w:val="00CF1D76"/>
    <w:rsid w:val="00CF3CE7"/>
    <w:rsid w:val="00D050FB"/>
    <w:rsid w:val="00D121F1"/>
    <w:rsid w:val="00D27799"/>
    <w:rsid w:val="00D34115"/>
    <w:rsid w:val="00D36145"/>
    <w:rsid w:val="00D36998"/>
    <w:rsid w:val="00D475F6"/>
    <w:rsid w:val="00D62277"/>
    <w:rsid w:val="00D62566"/>
    <w:rsid w:val="00D82E77"/>
    <w:rsid w:val="00D90C62"/>
    <w:rsid w:val="00D91A77"/>
    <w:rsid w:val="00D94CCA"/>
    <w:rsid w:val="00DA01EA"/>
    <w:rsid w:val="00DA2408"/>
    <w:rsid w:val="00DA6619"/>
    <w:rsid w:val="00DD101A"/>
    <w:rsid w:val="00DE3BFE"/>
    <w:rsid w:val="00E03562"/>
    <w:rsid w:val="00E5547D"/>
    <w:rsid w:val="00E5723D"/>
    <w:rsid w:val="00E82F77"/>
    <w:rsid w:val="00E84E04"/>
    <w:rsid w:val="00E91858"/>
    <w:rsid w:val="00EA0D0D"/>
    <w:rsid w:val="00EA51FD"/>
    <w:rsid w:val="00EB4620"/>
    <w:rsid w:val="00ED7821"/>
    <w:rsid w:val="00ED7D51"/>
    <w:rsid w:val="00EF5A1A"/>
    <w:rsid w:val="00F01F1A"/>
    <w:rsid w:val="00F4345C"/>
    <w:rsid w:val="00F4616F"/>
    <w:rsid w:val="00F47330"/>
    <w:rsid w:val="00F7308D"/>
    <w:rsid w:val="00FB7D1B"/>
    <w:rsid w:val="00FC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11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21F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DCF11-25E7-45C9-9B12-3760F629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КАЙГОРОДСКОГО СЕЛЬСОВЕТА</vt:lpstr>
    </vt:vector>
  </TitlesOfParts>
  <Company>SPecialiST RePack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КАЙГОРОДСКОГО СЕЛЬСОВЕТА</dc:title>
  <dc:creator>nmts</dc:creator>
  <cp:lastModifiedBy>777</cp:lastModifiedBy>
  <cp:revision>81</cp:revision>
  <cp:lastPrinted>2019-03-29T08:20:00Z</cp:lastPrinted>
  <dcterms:created xsi:type="dcterms:W3CDTF">2016-12-16T05:25:00Z</dcterms:created>
  <dcterms:modified xsi:type="dcterms:W3CDTF">2020-12-29T02:21:00Z</dcterms:modified>
</cp:coreProperties>
</file>